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3A4C31" w:rsidRPr="003A4C31" w14:paraId="632F9446" w14:textId="77777777" w:rsidTr="003A4C3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A0140F1" w14:textId="77777777" w:rsidR="003A4C31" w:rsidRPr="003A4C31" w:rsidRDefault="003A4C31" w:rsidP="003A4C31">
            <w:r w:rsidRPr="003A4C31">
              <w:t>12 Kasım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D25542A" w14:textId="77777777" w:rsidR="003A4C31" w:rsidRPr="003A4C31" w:rsidRDefault="003A4C31" w:rsidP="003A4C31">
            <w:r w:rsidRPr="003A4C31">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C1A976A" w14:textId="77777777" w:rsidR="003A4C31" w:rsidRPr="003A4C31" w:rsidRDefault="003A4C31" w:rsidP="003A4C31">
            <w:proofErr w:type="gramStart"/>
            <w:r w:rsidRPr="003A4C31">
              <w:t>Sayı :</w:t>
            </w:r>
            <w:proofErr w:type="gramEnd"/>
            <w:r w:rsidRPr="003A4C31">
              <w:t xml:space="preserve"> 32720</w:t>
            </w:r>
          </w:p>
        </w:tc>
      </w:tr>
      <w:tr w:rsidR="003A4C31" w:rsidRPr="003A4C31" w14:paraId="580F213C" w14:textId="77777777" w:rsidTr="003A4C31">
        <w:trPr>
          <w:trHeight w:val="480"/>
        </w:trPr>
        <w:tc>
          <w:tcPr>
            <w:tcW w:w="8789" w:type="dxa"/>
            <w:gridSpan w:val="3"/>
            <w:tcMar>
              <w:top w:w="0" w:type="dxa"/>
              <w:left w:w="108" w:type="dxa"/>
              <w:bottom w:w="0" w:type="dxa"/>
              <w:right w:w="108" w:type="dxa"/>
            </w:tcMar>
            <w:vAlign w:val="center"/>
            <w:hideMark/>
          </w:tcPr>
          <w:p w14:paraId="3358284F" w14:textId="77777777" w:rsidR="003A4C31" w:rsidRPr="003A4C31" w:rsidRDefault="003A4C31" w:rsidP="003A4C31">
            <w:r w:rsidRPr="003A4C31">
              <w:rPr>
                <w:b/>
                <w:bCs/>
              </w:rPr>
              <w:t>TEBLİĞ</w:t>
            </w:r>
          </w:p>
        </w:tc>
      </w:tr>
      <w:tr w:rsidR="003A4C31" w:rsidRPr="003A4C31" w14:paraId="5DC34EDA" w14:textId="77777777" w:rsidTr="003A4C31">
        <w:trPr>
          <w:trHeight w:val="480"/>
        </w:trPr>
        <w:tc>
          <w:tcPr>
            <w:tcW w:w="8789" w:type="dxa"/>
            <w:gridSpan w:val="3"/>
            <w:tcMar>
              <w:top w:w="0" w:type="dxa"/>
              <w:left w:w="108" w:type="dxa"/>
              <w:bottom w:w="0" w:type="dxa"/>
              <w:right w:w="108" w:type="dxa"/>
            </w:tcMar>
            <w:vAlign w:val="center"/>
            <w:hideMark/>
          </w:tcPr>
          <w:p w14:paraId="577AE006" w14:textId="77777777" w:rsidR="003A4C31" w:rsidRPr="003A4C31" w:rsidRDefault="003A4C31" w:rsidP="003A4C31">
            <w:pPr>
              <w:rPr>
                <w:u w:val="single"/>
              </w:rPr>
            </w:pPr>
            <w:r w:rsidRPr="003A4C31">
              <w:rPr>
                <w:u w:val="single"/>
              </w:rPr>
              <w:t>Hazine ve Maliye Bakanlığı (Gelir İdaresi Başkanlığı)’</w:t>
            </w:r>
            <w:proofErr w:type="spellStart"/>
            <w:r w:rsidRPr="003A4C31">
              <w:rPr>
                <w:u w:val="single"/>
              </w:rPr>
              <w:t>ndan</w:t>
            </w:r>
            <w:proofErr w:type="spellEnd"/>
            <w:r w:rsidRPr="003A4C31">
              <w:rPr>
                <w:u w:val="single"/>
              </w:rPr>
              <w:t>:</w:t>
            </w:r>
          </w:p>
          <w:p w14:paraId="1FF12F3B" w14:textId="77777777" w:rsidR="003A4C31" w:rsidRPr="003A4C31" w:rsidRDefault="003A4C31" w:rsidP="003A4C31">
            <w:pPr>
              <w:rPr>
                <w:b/>
                <w:bCs/>
              </w:rPr>
            </w:pPr>
            <w:r w:rsidRPr="003A4C31">
              <w:rPr>
                <w:b/>
                <w:bCs/>
              </w:rPr>
              <w:t>VERGİ USUL KANUNU GENEL TEBLİĞİ (SIRA NO: 509)’NDE</w:t>
            </w:r>
          </w:p>
          <w:p w14:paraId="02ADB73D" w14:textId="77777777" w:rsidR="003A4C31" w:rsidRPr="003A4C31" w:rsidRDefault="003A4C31" w:rsidP="003A4C31">
            <w:pPr>
              <w:rPr>
                <w:b/>
                <w:bCs/>
              </w:rPr>
            </w:pPr>
            <w:r w:rsidRPr="003A4C31">
              <w:rPr>
                <w:b/>
                <w:bCs/>
              </w:rPr>
              <w:t>DEĞİŞİKLİK YAPILMASINA DAİR TEBLİĞ (SIRA NO: 573)</w:t>
            </w:r>
          </w:p>
          <w:p w14:paraId="5D5B599A" w14:textId="77777777" w:rsidR="003A4C31" w:rsidRPr="003A4C31" w:rsidRDefault="003A4C31" w:rsidP="003A4C31">
            <w:r w:rsidRPr="003A4C31">
              <w:rPr>
                <w:b/>
                <w:bCs/>
              </w:rPr>
              <w:t>MADDE 1-</w:t>
            </w:r>
            <w:r w:rsidRPr="003A4C31">
              <w:t xml:space="preserve"> 19/10/2019 tarihli ve 30923 sayılı Resmî </w:t>
            </w:r>
            <w:proofErr w:type="spellStart"/>
            <w:r w:rsidRPr="003A4C31">
              <w:t>Gazete’de</w:t>
            </w:r>
            <w:proofErr w:type="spellEnd"/>
            <w:r w:rsidRPr="003A4C31">
              <w:t xml:space="preserve"> yayımlanan Vergi Usul Kanunu Genel Tebliği (Sıra No: 509)’</w:t>
            </w:r>
            <w:proofErr w:type="spellStart"/>
            <w:r w:rsidRPr="003A4C31">
              <w:t>nin</w:t>
            </w:r>
            <w:proofErr w:type="spellEnd"/>
            <w:r w:rsidRPr="003A4C31">
              <w:t> “</w:t>
            </w:r>
            <w:proofErr w:type="spellStart"/>
            <w:r w:rsidRPr="003A4C31">
              <w:t>II.Tanımlar</w:t>
            </w:r>
            <w:proofErr w:type="spellEnd"/>
            <w:r w:rsidRPr="003A4C31">
              <w:t xml:space="preserve"> ve kısaltmalar” başlıklı bölümünde yer alan “Elektronik Banka Dekontu (e-Dekont)” ve “TÜBİTAK-UEKAE- BİLGEM/KAMU SM” kısaltma ve tanımları aşağıdaki şekilde değiştirilmiş, “e-Dekont Uygulaması” tanımında yer alan “dekontunun” ibaresi “ve 3/4/2014 tarihli ve 28961 sayılı Resmî </w:t>
            </w:r>
            <w:proofErr w:type="spellStart"/>
            <w:r w:rsidRPr="003A4C31">
              <w:t>Gazete’de</w:t>
            </w:r>
            <w:proofErr w:type="spellEnd"/>
            <w:r w:rsidRPr="003A4C31">
              <w:t xml:space="preserve"> yayımlanan Vergi Usul Kanunu Genel Tebliği (Sıra No:435)’</w:t>
            </w:r>
            <w:proofErr w:type="spellStart"/>
            <w:r w:rsidRPr="003A4C31">
              <w:t>nin</w:t>
            </w:r>
            <w:proofErr w:type="spellEnd"/>
            <w:r w:rsidRPr="003A4C31">
              <w:t> (2) numaralı bölümünde sayılan kuruluşlar tarafından düzenlenen dekontun” şeklinde ve “Mali Mühür” tanımında yer alan “TÜBİTAK-UEKAE” ibaresi “TÜBİTAK BİLGEM KAMU SM” şeklinde değiştirilmiş ve “IATA” kısaltma ve tanımından sonra gelmek üzere aşağıdaki kısaltma ve tanım eklenmiştir.</w:t>
            </w:r>
          </w:p>
          <w:p w14:paraId="14895CDD" w14:textId="77777777" w:rsidR="003A4C31" w:rsidRPr="003A4C31" w:rsidRDefault="003A4C31" w:rsidP="003A4C31">
            <w:r w:rsidRPr="003A4C31">
              <w:t>“Elektronik Dekont (e-Dekont): Bu Tebliğde yer alan şartlara uygun olarak elektronik belge biçiminde oluşturulmuş banka ve Vergi Usul Kanunu Genel Tebliği (Sıra No:435)’</w:t>
            </w:r>
            <w:proofErr w:type="spellStart"/>
            <w:r w:rsidRPr="003A4C31">
              <w:t>nin</w:t>
            </w:r>
            <w:proofErr w:type="spellEnd"/>
            <w:r w:rsidRPr="003A4C31">
              <w:t> (2) numaralı bölümünde sayılan kuruluşlar tarafından düzenlenen dekontu,”</w:t>
            </w:r>
          </w:p>
          <w:p w14:paraId="74BC54B0" w14:textId="77777777" w:rsidR="003A4C31" w:rsidRPr="003A4C31" w:rsidRDefault="003A4C31" w:rsidP="003A4C31">
            <w:r w:rsidRPr="003A4C31">
              <w:t xml:space="preserve">“TÜBİTAK BİLGEM KAMU SM: Türkiye Bilimsel ve Teknolojik Araştırma </w:t>
            </w:r>
            <w:proofErr w:type="gramStart"/>
            <w:r w:rsidRPr="003A4C31">
              <w:t>Kurumu -</w:t>
            </w:r>
            <w:proofErr w:type="gramEnd"/>
            <w:r w:rsidRPr="003A4C31">
              <w:t xml:space="preserve"> Bilişim ve Bilgi Güvenliği İleri Teknolojiler Araştırma Merkezi Kamu Sertifikasyon Merkezini,”</w:t>
            </w:r>
          </w:p>
          <w:p w14:paraId="7809CBEF" w14:textId="77777777" w:rsidR="003A4C31" w:rsidRPr="003A4C31" w:rsidRDefault="003A4C31" w:rsidP="003A4C31">
            <w:r w:rsidRPr="003A4C31">
              <w:t xml:space="preserve">“İnşaat Demiri İzleme Sistemi (İDİS): 16/3/2023 tarihli ve 32134 sayılı Resmî </w:t>
            </w:r>
            <w:proofErr w:type="spellStart"/>
            <w:r w:rsidRPr="003A4C31">
              <w:t>Gazete’de</w:t>
            </w:r>
            <w:proofErr w:type="spellEnd"/>
            <w:r w:rsidRPr="003A4C31">
              <w:t xml:space="preserve"> yayımlanan İnşaat Demiri İzleme Sistemi Uygulama Genel Tebliğinde usul ve esasları belirlenen Sistemi,”</w:t>
            </w:r>
          </w:p>
          <w:p w14:paraId="2AE19486" w14:textId="77777777" w:rsidR="003A4C31" w:rsidRPr="003A4C31" w:rsidRDefault="003A4C31" w:rsidP="003A4C31">
            <w:r w:rsidRPr="003A4C31">
              <w:rPr>
                <w:b/>
                <w:bCs/>
              </w:rPr>
              <w:t>MADDE 2-</w:t>
            </w:r>
            <w:r w:rsidRPr="003A4C31">
              <w:t> Aynı Tebliğin “IV.2.4.3.  e-Arşiv Fatura Olarak Düzenlenme Zorunluluğu Getirilen Diğer Faturalar” başlıklı bölümünün birinci fıkrasında yer alan “, 1/1/2020 tarihinden itibaren düzenlenecek faturaların, vergiler dahil toplam tutarının 5 Bin TL’yi (vergi mükelleflerine düzenlenenler açısından Kanunun 232 </w:t>
            </w:r>
            <w:proofErr w:type="spellStart"/>
            <w:r w:rsidRPr="003A4C31">
              <w:t>nci</w:t>
            </w:r>
            <w:proofErr w:type="spellEnd"/>
            <w:r w:rsidRPr="003A4C31">
              <w:t> maddesinin ikinci fıkrasında belirtilen, işlemin gerçekleştiği yıla ait, fatura düzenleme zorunluluğuna ilişkin tutarı) aşması halinde, söz konusu faturaların,” ibaresi “düzenlenecek faturaların; 1/1/2025 ila 31/12/2025 tarihleri arasında vergiler dahil toplam tutarının 3 Bin TL’yi aşması halinde, 1/1/2026 tarihinden itibaren ise tutarına bakılmaksızın,” şeklinde değiştirilmiş ve aynı bölümde yer alan üçüncü fıkra yürürlükten kaldırılmıştır.</w:t>
            </w:r>
          </w:p>
          <w:p w14:paraId="2B0BA688" w14:textId="77777777" w:rsidR="003A4C31" w:rsidRPr="003A4C31" w:rsidRDefault="003A4C31" w:rsidP="003A4C31">
            <w:r w:rsidRPr="003A4C31">
              <w:rPr>
                <w:b/>
                <w:bCs/>
              </w:rPr>
              <w:lastRenderedPageBreak/>
              <w:t>MADDE 3-</w:t>
            </w:r>
            <w:r w:rsidRPr="003A4C31">
              <w:t> Aynı Tebliğin “IV.3.5. e-İrsaliye Uygulamasına Geçiş Zorunluluğu” başlıklı bölümünün birinci fıkrasına (8) numaralı bentten sonra gelmek üzere aşağıdaki bent eklenmiş ve diğer bent buna göre teselsül ettirilmiştir.</w:t>
            </w:r>
          </w:p>
          <w:p w14:paraId="79007EAD" w14:textId="77777777" w:rsidR="003A4C31" w:rsidRPr="003A4C31" w:rsidRDefault="003A4C31" w:rsidP="003A4C31">
            <w:r w:rsidRPr="003A4C31">
              <w:t>“9- İnşaat Demiri İzleme Sistemine geçiş zorunluluğu getirilen mükelleflerden brüt satış hasılatı (veya satışları ile gayrisafi iş hasılatı) 2024 ve müteakip hesap dönemlerinde 1 Milyon TL ve üzeri olan mükellefler.”</w:t>
            </w:r>
          </w:p>
          <w:p w14:paraId="2308B9CC" w14:textId="77777777" w:rsidR="003A4C31" w:rsidRPr="003A4C31" w:rsidRDefault="003A4C31" w:rsidP="003A4C31">
            <w:r w:rsidRPr="003A4C31">
              <w:rPr>
                <w:b/>
                <w:bCs/>
              </w:rPr>
              <w:t>MADDE 4-</w:t>
            </w:r>
            <w:r w:rsidRPr="003A4C31">
              <w:t> Aynı Tebliğin “IV.3.6. e-İrsaliye Uygulamasına Geçiş Süresi” başlıklı bölümünün ikinci fıkrasında yer alan “komisyoncular” ibaresinden sonra gelmek üzere “, İnşaat Demiri İzleme Sistemine geçiş zorunluluğu getirilen mükelleflerden brüt satış hasılatı (veya satışları ile gayrisafi iş hasılatı) 2024 veya müteakip hesap dönemlerinde 1 Milyon TL ve üzeri olan mükellefler” ibaresi eklenmiştir.</w:t>
            </w:r>
          </w:p>
          <w:p w14:paraId="20CC7FD5" w14:textId="77777777" w:rsidR="003A4C31" w:rsidRPr="003A4C31" w:rsidRDefault="003A4C31" w:rsidP="003A4C31">
            <w:r w:rsidRPr="003A4C31">
              <w:rPr>
                <w:b/>
                <w:bCs/>
              </w:rPr>
              <w:t>MADDE 5- </w:t>
            </w:r>
            <w:r w:rsidRPr="003A4C31">
              <w:t>Aynı Tebliğin “IV.11.1. Genel Olarak” başlıklı bölümünün birinci fıkrasında yer alan “bankalar” ibaresinden sonra gelmek üzere “ve Vergi Usul Kanunu Genel Tebliği (Sıra No:435)’</w:t>
            </w:r>
            <w:proofErr w:type="spellStart"/>
            <w:r w:rsidRPr="003A4C31">
              <w:t>nin</w:t>
            </w:r>
            <w:proofErr w:type="spellEnd"/>
            <w:r w:rsidRPr="003A4C31">
              <w:t> (2) numaralı bölümünde sayılan kuruluşlar” ibaresi eklenmiştir.</w:t>
            </w:r>
          </w:p>
          <w:p w14:paraId="6050D51C" w14:textId="77777777" w:rsidR="003A4C31" w:rsidRPr="003A4C31" w:rsidRDefault="003A4C31" w:rsidP="003A4C31">
            <w:r w:rsidRPr="003A4C31">
              <w:rPr>
                <w:b/>
                <w:bCs/>
              </w:rPr>
              <w:t>MADDE 6-</w:t>
            </w:r>
            <w:r w:rsidRPr="003A4C31">
              <w:t> Aynı Tebliğin “IV.11.2. e-Dekont Uygulamasına Dâhil Olma” başlıklı bölümünün birinci fıkrasında yer alan “olmayıp,” ibaresinden sonra gelmek üzere “Tebliğin (IV.11.1.) numaralı bölümünde belirtilen mükelleflerden” ibaresi eklenmiş ve aynı fıkrada yer alan “isteyen bankaların” ibaresi “isteyenlerin” şeklinde değiştirilmiş, ikinci fıkrasında yer alan “Bankalar, e-Dekont” ibaresi “e-Dekont” şeklinde, “birini seçerek yararlanabilir.” ibaresi “biri seçilerek yararlanılabilir.” şeklinde, “isteyen bankaların,” ibaresi “isteyenlerin,” şeklinde ve “isteyen bankalar ise” ibaresi “isteyenler ise” şeklinde değiştirilmiş, üçüncü fıkrasında yer alan “tamamlayan bankalara” ibaresi “tamamlayanlara” şeklinde, “edilen bankalara,” ibaresi “edilenlere,” şeklinde, “reddedilen bankaların” ibaresi “reddedilenlerin,” şeklinde ve “3” ibaresi “6” şeklinde değiştirilmiştir.</w:t>
            </w:r>
          </w:p>
          <w:p w14:paraId="180C7EFF" w14:textId="77777777" w:rsidR="003A4C31" w:rsidRPr="003A4C31" w:rsidRDefault="003A4C31" w:rsidP="003A4C31">
            <w:r w:rsidRPr="003A4C31">
              <w:rPr>
                <w:b/>
                <w:bCs/>
              </w:rPr>
              <w:t>MADDE 7-</w:t>
            </w:r>
            <w:r w:rsidRPr="003A4C31">
              <w:t> Aynı Tebliğin “IV.11.3. e-Dekontta Bulunması Gereken Bilgiler” başlıklı bölümünün ikinci fıkrasında yer alan “bankalardan,” ibaresi yürürlükten kaldırılmış ve üçüncü fıkrasında yer alan “Bankalar,” ibaresi “Tebliğin (IV.11.1.) numaralı bölümünde belirtilen mükellefler,” şeklinde değiştirilmiştir.</w:t>
            </w:r>
          </w:p>
          <w:p w14:paraId="3270BEBA" w14:textId="77777777" w:rsidR="003A4C31" w:rsidRPr="003A4C31" w:rsidRDefault="003A4C31" w:rsidP="003A4C31">
            <w:r w:rsidRPr="003A4C31">
              <w:rPr>
                <w:b/>
                <w:bCs/>
              </w:rPr>
              <w:t>MADDE 8-</w:t>
            </w:r>
            <w:r w:rsidRPr="003A4C31">
              <w:t> Aynı Tebliğin “IV.11.4. e-Dekont Uygulamasına Geçiş Zorunluluğu” başlıklı bölümünün birinci fıkrasında yer alan “tarihinden” ibaresinden sonra gelmek üzere “, Vergi Usul Kanunu Genel Tebliği (Sıra No:435)’</w:t>
            </w:r>
            <w:proofErr w:type="spellStart"/>
            <w:r w:rsidRPr="003A4C31">
              <w:t>nin</w:t>
            </w:r>
            <w:proofErr w:type="spellEnd"/>
            <w:r w:rsidRPr="003A4C31">
              <w:t> (2) numaralı bölümünde sayılan kuruluşlar ise istemeleri halinde 1/1/2025 tarihinden” ibaresi eklenmiş, ikinci fıkrasında yer alan “bankaların” ibaresi “Tebliğin (IV.11.1.) numaralı bölümünde belirtilen mükellefler için,” şeklinde değiştirilmiş ve üçüncü fıkrasında yer alan “Bankalar” ibaresi “Söz konusu mükellefler,” şeklinde değiştirilmiştir.</w:t>
            </w:r>
          </w:p>
          <w:p w14:paraId="2A51A0FD" w14:textId="77777777" w:rsidR="003A4C31" w:rsidRPr="003A4C31" w:rsidRDefault="003A4C31" w:rsidP="003A4C31">
            <w:r w:rsidRPr="003A4C31">
              <w:rPr>
                <w:b/>
                <w:bCs/>
              </w:rPr>
              <w:t>MADDE 9-</w:t>
            </w:r>
            <w:r w:rsidRPr="003A4C31">
              <w:t> Aynı Tebliğin “IV.11.5. e-Dekont Uygulamasına Geçiş Süresi” başlıklı bölümünün birinci fıkrasında yer alan “olacağı belirtilen bankaların,” ibaresi “edilenlerin,” şeklinde değiştirilmiştir.</w:t>
            </w:r>
          </w:p>
          <w:p w14:paraId="1899E553" w14:textId="77777777" w:rsidR="003A4C31" w:rsidRPr="003A4C31" w:rsidRDefault="003A4C31" w:rsidP="003A4C31">
            <w:r w:rsidRPr="003A4C31">
              <w:rPr>
                <w:b/>
                <w:bCs/>
              </w:rPr>
              <w:t>MADDE 10-</w:t>
            </w:r>
            <w:r w:rsidRPr="003A4C31">
              <w:t> Aynı Tebliğin “IV.12.3. e-Adisyon Belgesinin Düzenlenmesi ve Belgede Bulunması Gereken Bilgiler” başlıklı bölümünün üçüncü fıkrasının (ç) bendinde yer alan “tutarı,” ibaresi “tutarı.” şeklinde değiştirilmiş ve aynı fıkranın (d) bendi yürürlükten kaldırılmıştır.</w:t>
            </w:r>
          </w:p>
          <w:p w14:paraId="62FF6BB4" w14:textId="77777777" w:rsidR="003A4C31" w:rsidRPr="003A4C31" w:rsidRDefault="003A4C31" w:rsidP="003A4C31">
            <w:r w:rsidRPr="003A4C31">
              <w:rPr>
                <w:b/>
                <w:bCs/>
              </w:rPr>
              <w:t>MADDE 11-</w:t>
            </w:r>
            <w:r w:rsidRPr="003A4C31">
              <w:t> Aynı Tebliğin “V.1.2. Özel Entegratörlerin Bilgi İşlem Sistemi Aracılığıyla Kullanım (Özel Entegratör Yöntemi)” başlıklı bölümünün üçüncü fıkrasında yer alan ““VI.11.5.” numaralı bölümüne” ibaresi ““V.5. ve V.8.” numaralı bölümlerine” şeklinde değiştirilmiş ve aynı bölüme dokuzuncu fıkradan sonra gelmek üzere aşağıdaki fıkra eklenmiştir.</w:t>
            </w:r>
          </w:p>
          <w:p w14:paraId="7BD3CE53" w14:textId="77777777" w:rsidR="003A4C31" w:rsidRPr="003A4C31" w:rsidRDefault="003A4C31" w:rsidP="003A4C31">
            <w:r w:rsidRPr="003A4C31">
              <w:t>“</w:t>
            </w:r>
            <w:proofErr w:type="gramStart"/>
            <w:r w:rsidRPr="003A4C31">
              <w:t>e</w:t>
            </w:r>
            <w:proofErr w:type="gramEnd"/>
            <w:r w:rsidRPr="003A4C31">
              <w:t>-Belgelerin oluşturulması, imzalanması, iletilmesi ve saklanması ile bunlara ilişkin sistem ve yazılım gereksinimleri hususlarında ilgili kanun ve tebliğ ile Bakanlık ve Başkanlıkça yayımlanan kılavuzlarda belirlenen usul ve esaslara aykırı davrandığı tespit edilen özel entegratörlere 213 sayılı Kanunun ilgili ceza hükümleri tatbik olunur. Ayrıca söz konusu özel entegratörlere münasip bir süre verilerek bahse konu eksikliklerin giderilmesi istenir. Verilen süre içerisinde söz konusu eksiklikleri gidermeyen özel entegratörler ile giderilmesi istenen eksikliği aynı takvim yılı içerisinde birden fazla kez tespit edilenlerin özel entegratörlük izinleri Başkanlık tarafından iptal edilebilir. İzinleri iptal edilen özel entegratörlerin, iptal edilen izinlerine ilişkin özel entegratörlük başvuruları, izinlerinin iptal edildiği tarihten itibaren bir yıl geçmeden değerlendirmeye alınmaz.”</w:t>
            </w:r>
          </w:p>
          <w:p w14:paraId="079F429D" w14:textId="77777777" w:rsidR="003A4C31" w:rsidRPr="003A4C31" w:rsidRDefault="003A4C31" w:rsidP="003A4C31">
            <w:r w:rsidRPr="003A4C31">
              <w:rPr>
                <w:b/>
                <w:bCs/>
              </w:rPr>
              <w:t>MADDE 12-</w:t>
            </w:r>
            <w:r w:rsidRPr="003A4C31">
              <w:t> Aynı Tebliğin “V.1.3. Bilgi İşlem Sistemlerinin Başkanlık Bilgi Sistemleri ile Doğrudan Entegre Edilmesi Yoluyla Kullanım (Doğrudan Entegrasyon Yöntemi)” başlıklı bölümünün birinci fıkrasında yer alan “Bilgi işlem sistemleri yeterli olan mükelleflerin,” ibaresi “Faaliyet konusu, mükellefiyet süresi, vergi, şirket veya mükellefiyet türü, aktif ya da öz sermaye büyüklüğü, brüt satış hasılatı (veya satışları ile gayrisafi iş hasılatı), sektör, düzenlenen belge sayısı ile bilgi işlem altyapısı gibi hususlarda Başkanlık tarafından belirlenen şartları sağlayan ve başvuruları Başkanlıkça uygun bulunan mükelleflerin,” şeklinde değiştirilmiş ve aynı bölüme aşağıdaki fıkralar eklenmiştir.</w:t>
            </w:r>
          </w:p>
          <w:p w14:paraId="03CB2947" w14:textId="77777777" w:rsidR="003A4C31" w:rsidRPr="003A4C31" w:rsidRDefault="003A4C31" w:rsidP="003A4C31">
            <w:r w:rsidRPr="003A4C31">
              <w:t>“Doğrudan entegrasyon yöntemini kullanan mükelleflerden Başkanlık tarafından birinci fıkra kapsamında belirlenen şartları sağlayamayanların hesapları, Başkanlık tarafından kendilerine bildirimde bulunularak, bu durumun tespitini izleyen üçüncü ayın başı itibarıyla kapatılır. Kendilerine bildirimde bulunulan mükelleflerin söz konusu süre içerisinde e-Belge uygulamalarından yararlanma yöntemlerinden diğerlerine dâhil olmaları için yapmaları gereken işlemleri tamamlamaları şarttır. Bu fıkra kapsamında doğrudan entegrasyon hesapları kapatılan mükelleflerin, doğrudan entegrasyon yöntemine ilişkin başvuruları hesapların kapatılma tarihinden itibaren bir yıl geçmeden değerlendirmeye alınmaz.</w:t>
            </w:r>
          </w:p>
          <w:p w14:paraId="23FB2AAA" w14:textId="77777777" w:rsidR="003A4C31" w:rsidRPr="003A4C31" w:rsidRDefault="003A4C31" w:rsidP="003A4C31">
            <w:proofErr w:type="gramStart"/>
            <w:r w:rsidRPr="003A4C31">
              <w:t>e</w:t>
            </w:r>
            <w:proofErr w:type="gramEnd"/>
            <w:r w:rsidRPr="003A4C31">
              <w:t>-Belgelerin oluşturulması, imzalanması, iletilmesi ve saklanması ile bunlara ilişkin sistem ve yazılım gereksinimleri hususlarında ilgili kanun ve tebliğ ile Bakanlık ve Başkanlıkça yayımlanan kılavuzlarda belirlenen usul ve esaslara aykırı davrandığı tespit edilen doğrudan entegrasyon yöntemini kullanan mükelleflere 213 sayılı Kanunun ilgili ceza hükümleri tatbik olunur. Ayrıca söz konusu mükelleflere münasip bir süre verilerek bahse konu eksikliklerin giderilmesi istenir. Verilen süre içerisinde söz konusu eksiklikleri gidermeyen mükellefler ile giderilmesi istenen eksikliği aynı takvim yılı içerisinde birden fazla kez tespit edilenlerin doğrudan entegrasyon hesapları, Başkanlık tarafından kendilerine bildirimde bulunularak kapatılabilir. Kendilerine bildirimde bulunulan mükelleflerin Başkanlık tarafından yazılı olarak bildirilen tarihe kadar e-Belge uygulamalarından yararlanma yöntemlerinden diğerlerine dâhil olmaları için yapmaları gereken işlemleri tamamlamaları şarttır. Doğrudan entegrasyon hesapları kapatılan mükelleflerin, doğrudan entegrasyon yöntemine ilişkin başvuruları hesapların kapatılma tarihinden itibaren bir yıl geçmeden değerlendirmeye alınmaz.”</w:t>
            </w:r>
          </w:p>
          <w:p w14:paraId="75A07320" w14:textId="77777777" w:rsidR="003A4C31" w:rsidRPr="003A4C31" w:rsidRDefault="003A4C31" w:rsidP="003A4C31">
            <w:r w:rsidRPr="003A4C31">
              <w:rPr>
                <w:b/>
                <w:bCs/>
              </w:rPr>
              <w:t>MADDE 13-</w:t>
            </w:r>
            <w:r w:rsidRPr="003A4C31">
              <w:t> Aynı Tebliğin “V.4. Belge Numarası” başlıklı bölümünün birinci fıkrasında yer alan “</w:t>
            </w:r>
            <w:r w:rsidRPr="003A4C31">
              <w:rPr>
                <w:i/>
                <w:iCs/>
              </w:rPr>
              <w:t>(e-Dekont uygulaması kapsamında 4 haneli birim kodu ve en az 14 haneli sıra numarasından oluşan numara, hava yolu firmalarınca düzenlenen e-Biletlerde ise bu numara yerine IATA nezdindeki kod numarası ile başlayan toplam on üç haneli bilet numarası da belge numarası yerine kullanılabilecektir)</w:t>
            </w:r>
            <w:r w:rsidRPr="003A4C31">
              <w:t>”</w:t>
            </w:r>
            <w:r w:rsidRPr="003A4C31">
              <w:rPr>
                <w:i/>
                <w:iCs/>
              </w:rPr>
              <w:t> </w:t>
            </w:r>
            <w:r w:rsidRPr="003A4C31">
              <w:t>ibaresi</w:t>
            </w:r>
            <w:r w:rsidRPr="003A4C31">
              <w:rPr>
                <w:i/>
                <w:iCs/>
              </w:rPr>
              <w:t> </w:t>
            </w:r>
            <w:r w:rsidRPr="003A4C31">
              <w:t>“</w:t>
            </w:r>
            <w:r w:rsidRPr="003A4C31">
              <w:rPr>
                <w:i/>
                <w:iCs/>
              </w:rPr>
              <w:t>(Hava yolu firmalarınca düzenlenen e-Biletlerde bu numara yerine IATA nezdindeki kod numarası ile başlayan toplam on üç haneli bilet numarası belge numarası yerine kullanılabilecektir)</w:t>
            </w:r>
            <w:r w:rsidRPr="003A4C31">
              <w:t>” şeklinde değiştirilmiştir.</w:t>
            </w:r>
          </w:p>
          <w:p w14:paraId="276D9BBF" w14:textId="77777777" w:rsidR="003A4C31" w:rsidRPr="003A4C31" w:rsidRDefault="003A4C31" w:rsidP="003A4C31">
            <w:r w:rsidRPr="003A4C31">
              <w:rPr>
                <w:b/>
                <w:bCs/>
              </w:rPr>
              <w:t>MADDE 14-</w:t>
            </w:r>
            <w:r w:rsidRPr="003A4C31">
              <w:t> Aynı Tebliğin “V.5.5. e-Müstahsil Makbuzunun Düzenlenmesi ve Teslimi” başlıklı bölümüne ikinci fıkrasından sonra gelmek üzere aşağıdaki fıkra eklenmiştir.</w:t>
            </w:r>
          </w:p>
          <w:p w14:paraId="32FCB173" w14:textId="77777777" w:rsidR="003A4C31" w:rsidRPr="003A4C31" w:rsidRDefault="003A4C31" w:rsidP="003A4C31">
            <w:r w:rsidRPr="003A4C31">
              <w:t>“e-Müstahsil Makbuzunun, çıktısının muhatabı tarafından ıslak imza ile imzalanarak düzenlenmesi yerine, Başkanlık tarafından faaliyet konusu, mükellefiyet süresi, vergi, şirket veya mükellefiyet türü, aktif ya da öz sermaye büyüklüğü, brüt satış hasılatı (veya satışları ile gayrisafi iş hasılatı), sektör ve düzenlenen belge sayısı gibi kriterler ayrı ayrı veya birlikte dikkate alınarak belirlenen mükellefler için uygulanmak üzere, müstahsil makbuzunun muhataplarının bilgilerinin bilgi teknolojileri ve/veya iletişim araç ve ortamları üzerinden doğrulanması ve gerekli olan bilgilerin e-Müstahsil Makbuzunda yer alması suretiyle düzenlenmesi de mümkündür. Başkanlık, bu uygulamadan yararlanabilecek mükellefleri, mükellefler tarafından yapılacak başvuruya ilişkin hususları, bu uygulama kapsamında düzenlenecek e-Müstahsil Makbuzunda bulunması gereken bilgiler ile bu makbuzun düzenlenmesinde uyulacak usul ve esasları ve uygulamaya yönelik diğer hususları ebelge.gib.gov.tr adresinde yayımlanacak kılavuzlarla belirlemeye, bu uygulamadan yararlanacak mükelleflere bu kapsamda düzenledikleri e-Müstahsil Makbuzlarına ilişkin olarak düzenli bilgi verme yükümlülüğü getirmeye yetkilidir.”</w:t>
            </w:r>
          </w:p>
          <w:p w14:paraId="2330520F" w14:textId="77777777" w:rsidR="003A4C31" w:rsidRPr="003A4C31" w:rsidRDefault="003A4C31" w:rsidP="003A4C31">
            <w:r w:rsidRPr="003A4C31">
              <w:rPr>
                <w:b/>
                <w:bCs/>
              </w:rPr>
              <w:t>MADDE 15-</w:t>
            </w:r>
            <w:r w:rsidRPr="003A4C31">
              <w:t> Aynı Tebliğin “V.5.6. e-Gider Pusulasının Düzenlenmesi ve Teslimi” başlıklı bölümüne birinci fıkrasından sonra gelmek üzere aşağıdaki fıkra eklenmiştir.</w:t>
            </w:r>
          </w:p>
          <w:p w14:paraId="0FC8D5A8" w14:textId="77777777" w:rsidR="003A4C31" w:rsidRPr="003A4C31" w:rsidRDefault="003A4C31" w:rsidP="003A4C31">
            <w:r w:rsidRPr="003A4C31">
              <w:t>“e-Gider Pusulasının, çıktısının muhatabı tarafından ıslak imza ile imzalanarak düzenlenmesi yerine, Başkanlık tarafından faaliyet konusu, mükellefiyet süresi, vergi, şirket veya mükellefiyet türü, aktif ya da öz sermaye büyüklüğü, brüt satış hasılatı (veya satışları ile gayrisafi iş hasılatı), sektör ve düzenlenen belge sayısı gibi kriterler ayrı ayrı veya birlikte dikkate alınarak belirlenen mükellefler için uygulanmak üzere, gider pusulasının muhataplarının bilgilerinin bilgi teknolojileri ve/veya iletişim araç ve ortamları üzerinden doğrulanması ve gerekli olan bilgilerin e-Gider Pusulasında yer alması suretiyle düzenlenmesi de mümkündür. Başkanlık, bu uygulamadan yararlanabilecek mükellefleri, mükellefler tarafından yapılacak başvuruya ilişkin hususları, bu uygulama kapsamında düzenlenecek e-Gider Pusulasında bulunması gereken bilgiler ile bu gider pusulasının düzenlenmesinde uyulacak usul ve esasları ve uygulamaya yönelik diğer hususları ebelge.gib.gov.tr adresinde yayımlanacak kılavuzlarla belirlemeye, bu uygulamadan yararlanacak mükelleflere bu kapsamda düzenledikleri e-Gider Pusulasına ilişkin olarak düzenli bilgi verme yükümlülüğü getirmeye yetkilidir.”</w:t>
            </w:r>
          </w:p>
          <w:p w14:paraId="26B93718" w14:textId="77777777" w:rsidR="003A4C31" w:rsidRPr="003A4C31" w:rsidRDefault="003A4C31" w:rsidP="003A4C31">
            <w:r w:rsidRPr="003A4C31">
              <w:rPr>
                <w:b/>
                <w:bCs/>
              </w:rPr>
              <w:t>MADDE 16-</w:t>
            </w:r>
            <w:r w:rsidRPr="003A4C31">
              <w:t> Aynı Tebliğin “V.5.11. e-Dekontun Düzenlenmesi ve Teslimi” başlıklı bölümünün birinci fıkrasında yer alan “banka” ibaresi “belgeyi düzenleyen kurum” şeklinde değiştirilmiş, aynı fıkrada yer alan “banka yetkilisinin” ibaresi “belgeyi düzenleyen kurumun yetkilisinin” şeklinde değiştirilmiş, ikinci fıkrasında yer alan “belgenin de” ibaresi “belgenin ve Vergi Usul Kanunu Genel Tebliği (Sıra No:435)’</w:t>
            </w:r>
            <w:proofErr w:type="spellStart"/>
            <w:r w:rsidRPr="003A4C31">
              <w:t>nin</w:t>
            </w:r>
            <w:proofErr w:type="spellEnd"/>
            <w:r w:rsidRPr="003A4C31">
              <w:t> (2) numaralı bölümünde sayılan kuruluşlar tarafından banka ve sigorta muameleleri vergisine tâbi bütün hizmet veya satışlarında fatura yerine geçmek üzere düzenlenen dekontun” şeklinde değiştirilmiş, üçüncü fıkrasında yer alan “ve banka dekontu ile” ibaresi “, Vergi Usul Kanunu Genel Tebliği (Sıra No:435)’</w:t>
            </w:r>
            <w:proofErr w:type="spellStart"/>
            <w:r w:rsidRPr="003A4C31">
              <w:t>nde</w:t>
            </w:r>
            <w:proofErr w:type="spellEnd"/>
            <w:r w:rsidRPr="003A4C31">
              <w:t> ve dekontla” şeklinde değiştirilmiş ve aynı fıkrada yer alan “bankaların” ibaresi “Tebliğin (IV.11.1.) numaralı bölümünde belirtilen mükelleflerin,” şeklinde değiştirilmiştir.</w:t>
            </w:r>
          </w:p>
          <w:p w14:paraId="2A835BE0" w14:textId="77777777" w:rsidR="003A4C31" w:rsidRPr="003A4C31" w:rsidRDefault="003A4C31" w:rsidP="003A4C31">
            <w:r w:rsidRPr="003A4C31">
              <w:rPr>
                <w:b/>
                <w:bCs/>
              </w:rPr>
              <w:t>MADDE 17-</w:t>
            </w:r>
            <w:r w:rsidRPr="003A4C31">
              <w:t> Aynı Tebliğin “V.7. e-Belge Olarak Düzenlenme Zorunluluğu Getirilen Belgelerin Kâğıt Olarak Düzenlenebileceği Haller” başlıklı bölümünün birinci fıkrasının (ç) bendinde yer alan “düzenlenmesine” ibaresinden sonra gelmek üzere “ve e-Fatura yerine e-Arşiv Fatura düzenlenmesine” ibaresi eklenmiş, aynı fıkrada yer alan “düzenlenmesi durumunda” ibaresi “düzenlenmesi [(ç) bendi bakımından e-Fatura yerine e-Arşiv Fatura düzenlenmesi de dâhil] durumunda” şeklinde değiştirilmiştir.</w:t>
            </w:r>
          </w:p>
          <w:p w14:paraId="0C687725" w14:textId="77777777" w:rsidR="003A4C31" w:rsidRPr="003A4C31" w:rsidRDefault="003A4C31" w:rsidP="003A4C31">
            <w:r w:rsidRPr="003A4C31">
              <w:rPr>
                <w:b/>
                <w:bCs/>
              </w:rPr>
              <w:t>MADDE 18-</w:t>
            </w:r>
            <w:r w:rsidRPr="003A4C31">
              <w:t> Aynı Tebliğin “V.9. Mali Mühür” başlıklı bölümünde yer alan “TÜBİTAK-UEKAE” ibareleri “TÜBİTAK BİLGEM KAMU SM” şeklinde değiştirilmiştir.</w:t>
            </w:r>
          </w:p>
          <w:p w14:paraId="1EAF86F5" w14:textId="77777777" w:rsidR="003A4C31" w:rsidRPr="003A4C31" w:rsidRDefault="003A4C31" w:rsidP="003A4C31">
            <w:r w:rsidRPr="003A4C31">
              <w:rPr>
                <w:b/>
                <w:bCs/>
              </w:rPr>
              <w:t>MADDE 19-</w:t>
            </w:r>
            <w:r w:rsidRPr="003A4C31">
              <w:t> Aynı Tebliğin “VII. Sorumluluk ve Cezai Müeyyideler” başlıklı bölümünün dördüncü fıkrasında yer alan “bildirimin yapıldığı tarihten itibaren 6 ay süre ile uygulamayı kendi bilgi işlem sistemleri üzerinden kullanmak üzere başvuru yapamazlar. Bu mükellefler,” ibaresi yürürlükten kaldırılmıştır.</w:t>
            </w:r>
          </w:p>
          <w:p w14:paraId="4ED9278A" w14:textId="77777777" w:rsidR="003A4C31" w:rsidRPr="003A4C31" w:rsidRDefault="003A4C31" w:rsidP="003A4C31">
            <w:r w:rsidRPr="003A4C31">
              <w:rPr>
                <w:b/>
                <w:bCs/>
              </w:rPr>
              <w:t>MADDE 20-</w:t>
            </w:r>
            <w:r w:rsidRPr="003A4C31">
              <w:t> Bu Tebliğin;</w:t>
            </w:r>
          </w:p>
          <w:p w14:paraId="7BCEBE5C" w14:textId="77777777" w:rsidR="003A4C31" w:rsidRPr="003A4C31" w:rsidRDefault="003A4C31" w:rsidP="003A4C31">
            <w:r w:rsidRPr="003A4C31">
              <w:t xml:space="preserve">a) </w:t>
            </w:r>
            <w:proofErr w:type="gramStart"/>
            <w:r w:rsidRPr="003A4C31">
              <w:t>2 </w:t>
            </w:r>
            <w:proofErr w:type="spellStart"/>
            <w:r w:rsidRPr="003A4C31">
              <w:t>nci</w:t>
            </w:r>
            <w:proofErr w:type="spellEnd"/>
            <w:proofErr w:type="gramEnd"/>
            <w:r w:rsidRPr="003A4C31">
              <w:t> maddesinin Vergi Usul Kanunu Genel Tebliği (Sıra No: 509)’</w:t>
            </w:r>
            <w:proofErr w:type="spellStart"/>
            <w:r w:rsidRPr="003A4C31">
              <w:t>nin</w:t>
            </w:r>
            <w:proofErr w:type="spellEnd"/>
            <w:r w:rsidRPr="003A4C31">
              <w:t> “IV.2.4.3. e-Arşiv Fatura Olarak Düzenlenme Zorunluluğu Getirilen Diğer Faturalar” başlıklı bölümünün birinci fıkrasında değişiklik öngören kısmı 1/1/2025 tarihinden itibaren gerçekleştirilen teslim ve hizmetlere uygulanmak üzere 1/1/2025 tarihinde, üçüncü fıkrasında değişiklik öngören kısmı ise 1/1/2026 tarihinden itibaren gerçekleştirilen teslim ve hizmetlere uygulanmak üzere 1/1/2026 tarihinde,</w:t>
            </w:r>
          </w:p>
          <w:p w14:paraId="4569B879" w14:textId="77777777" w:rsidR="003A4C31" w:rsidRPr="003A4C31" w:rsidRDefault="003A4C31" w:rsidP="003A4C31">
            <w:r w:rsidRPr="003A4C31">
              <w:t>b) Diğer maddeleri yayımı tarihinde,</w:t>
            </w:r>
          </w:p>
          <w:p w14:paraId="03D6C6EA" w14:textId="77777777" w:rsidR="003A4C31" w:rsidRPr="003A4C31" w:rsidRDefault="003A4C31" w:rsidP="003A4C31">
            <w:proofErr w:type="gramStart"/>
            <w:r w:rsidRPr="003A4C31">
              <w:t>yürürlüğe</w:t>
            </w:r>
            <w:proofErr w:type="gramEnd"/>
            <w:r w:rsidRPr="003A4C31">
              <w:t> girer.</w:t>
            </w:r>
          </w:p>
          <w:p w14:paraId="6199A106" w14:textId="77777777" w:rsidR="003A4C31" w:rsidRPr="003A4C31" w:rsidRDefault="003A4C31" w:rsidP="003A4C31">
            <w:r w:rsidRPr="003A4C31">
              <w:rPr>
                <w:b/>
                <w:bCs/>
              </w:rPr>
              <w:t>MADDE 21-</w:t>
            </w:r>
            <w:r w:rsidRPr="003A4C31">
              <w:t> Bu Tebliğ hükümlerini Hazine ve Maliye Bakanı yürütür.</w:t>
            </w:r>
          </w:p>
        </w:tc>
      </w:tr>
    </w:tbl>
    <w:p w14:paraId="7D1CE107" w14:textId="77777777" w:rsidR="00F40434" w:rsidRDefault="00F40434"/>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31"/>
    <w:rsid w:val="0005678B"/>
    <w:rsid w:val="003A4C31"/>
    <w:rsid w:val="0059430F"/>
    <w:rsid w:val="005F324D"/>
    <w:rsid w:val="006046BE"/>
    <w:rsid w:val="0068156B"/>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4CB1"/>
  <w15:chartTrackingRefBased/>
  <w15:docId w15:val="{E45B7527-F253-4F07-AFAA-F44C8E87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4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4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4C3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4C3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4C3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4C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4C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4C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4C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4C3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4C3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4C3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4C3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4C3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4C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4C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4C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4C31"/>
    <w:rPr>
      <w:rFonts w:eastAsiaTheme="majorEastAsia" w:cstheme="majorBidi"/>
      <w:color w:val="272727" w:themeColor="text1" w:themeTint="D8"/>
    </w:rPr>
  </w:style>
  <w:style w:type="paragraph" w:styleId="KonuBal">
    <w:name w:val="Title"/>
    <w:basedOn w:val="Normal"/>
    <w:next w:val="Normal"/>
    <w:link w:val="KonuBalChar"/>
    <w:uiPriority w:val="10"/>
    <w:qFormat/>
    <w:rsid w:val="003A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4C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4C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4C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4C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4C31"/>
    <w:rPr>
      <w:i/>
      <w:iCs/>
      <w:color w:val="404040" w:themeColor="text1" w:themeTint="BF"/>
    </w:rPr>
  </w:style>
  <w:style w:type="paragraph" w:styleId="ListeParagraf">
    <w:name w:val="List Paragraph"/>
    <w:basedOn w:val="Normal"/>
    <w:uiPriority w:val="34"/>
    <w:qFormat/>
    <w:rsid w:val="003A4C31"/>
    <w:pPr>
      <w:ind w:left="720"/>
      <w:contextualSpacing/>
    </w:pPr>
  </w:style>
  <w:style w:type="character" w:styleId="GlVurgulama">
    <w:name w:val="Intense Emphasis"/>
    <w:basedOn w:val="VarsaylanParagrafYazTipi"/>
    <w:uiPriority w:val="21"/>
    <w:qFormat/>
    <w:rsid w:val="003A4C31"/>
    <w:rPr>
      <w:i/>
      <w:iCs/>
      <w:color w:val="0F4761" w:themeColor="accent1" w:themeShade="BF"/>
    </w:rPr>
  </w:style>
  <w:style w:type="paragraph" w:styleId="GlAlnt">
    <w:name w:val="Intense Quote"/>
    <w:basedOn w:val="Normal"/>
    <w:next w:val="Normal"/>
    <w:link w:val="GlAlntChar"/>
    <w:uiPriority w:val="30"/>
    <w:qFormat/>
    <w:rsid w:val="003A4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4C31"/>
    <w:rPr>
      <w:i/>
      <w:iCs/>
      <w:color w:val="0F4761" w:themeColor="accent1" w:themeShade="BF"/>
    </w:rPr>
  </w:style>
  <w:style w:type="character" w:styleId="GlBavuru">
    <w:name w:val="Intense Reference"/>
    <w:basedOn w:val="VarsaylanParagrafYazTipi"/>
    <w:uiPriority w:val="32"/>
    <w:qFormat/>
    <w:rsid w:val="003A4C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77679">
      <w:bodyDiv w:val="1"/>
      <w:marLeft w:val="0"/>
      <w:marRight w:val="0"/>
      <w:marTop w:val="0"/>
      <w:marBottom w:val="0"/>
      <w:divBdr>
        <w:top w:val="none" w:sz="0" w:space="0" w:color="auto"/>
        <w:left w:val="none" w:sz="0" w:space="0" w:color="auto"/>
        <w:bottom w:val="none" w:sz="0" w:space="0" w:color="auto"/>
        <w:right w:val="none" w:sz="0" w:space="0" w:color="auto"/>
      </w:divBdr>
    </w:div>
    <w:div w:id="20526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2024-11-15T06:21:00Z</dcterms:created>
  <dcterms:modified xsi:type="dcterms:W3CDTF">2024-11-15T06:21:00Z</dcterms:modified>
</cp:coreProperties>
</file>